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08A" w:rsidRPr="002B1281" w:rsidRDefault="00C3708A" w:rsidP="00C3708A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2B1281">
        <w:rPr>
          <w:rFonts w:ascii="Times New Roman" w:hAnsi="Times New Roman" w:cs="Times New Roman"/>
          <w:sz w:val="18"/>
        </w:rPr>
        <w:t>Приложение</w:t>
      </w:r>
      <w:r w:rsidR="006938B7" w:rsidRPr="002B1281">
        <w:rPr>
          <w:rFonts w:ascii="Times New Roman" w:hAnsi="Times New Roman" w:cs="Times New Roman"/>
          <w:sz w:val="18"/>
        </w:rPr>
        <w:t xml:space="preserve"> №</w:t>
      </w:r>
      <w:r w:rsidRPr="002B1281">
        <w:rPr>
          <w:rFonts w:ascii="Times New Roman" w:hAnsi="Times New Roman" w:cs="Times New Roman"/>
          <w:sz w:val="18"/>
        </w:rPr>
        <w:t xml:space="preserve"> </w:t>
      </w:r>
      <w:r w:rsidR="00946649" w:rsidRPr="002B1281">
        <w:rPr>
          <w:rFonts w:ascii="Times New Roman" w:hAnsi="Times New Roman" w:cs="Times New Roman"/>
          <w:sz w:val="18"/>
        </w:rPr>
        <w:t>8</w:t>
      </w:r>
      <w:r w:rsidRPr="002B1281">
        <w:rPr>
          <w:rFonts w:ascii="Times New Roman" w:hAnsi="Times New Roman" w:cs="Times New Roman"/>
          <w:sz w:val="18"/>
        </w:rPr>
        <w:t xml:space="preserve"> к </w:t>
      </w:r>
      <w:r w:rsidR="002B1281" w:rsidRPr="002B1281">
        <w:rPr>
          <w:rFonts w:ascii="Times New Roman" w:hAnsi="Times New Roman" w:cs="Times New Roman"/>
          <w:sz w:val="18"/>
        </w:rPr>
        <w:t>Тарифному</w:t>
      </w:r>
      <w:r w:rsidR="002B1281">
        <w:rPr>
          <w:rFonts w:ascii="Times New Roman" w:hAnsi="Times New Roman" w:cs="Times New Roman"/>
          <w:sz w:val="18"/>
        </w:rPr>
        <w:t xml:space="preserve"> </w:t>
      </w:r>
      <w:r w:rsidR="002B1281" w:rsidRPr="002B1281">
        <w:rPr>
          <w:rFonts w:ascii="Times New Roman" w:hAnsi="Times New Roman" w:cs="Times New Roman"/>
          <w:sz w:val="18"/>
        </w:rPr>
        <w:t>соглашению</w:t>
      </w:r>
      <w:r w:rsidR="006938B7" w:rsidRPr="002B1281">
        <w:rPr>
          <w:rFonts w:ascii="Times New Roman" w:hAnsi="Times New Roman" w:cs="Times New Roman"/>
          <w:sz w:val="18"/>
        </w:rPr>
        <w:t xml:space="preserve"> </w:t>
      </w:r>
      <w:r w:rsidRPr="002B1281">
        <w:rPr>
          <w:rFonts w:ascii="Times New Roman" w:hAnsi="Times New Roman" w:cs="Times New Roman"/>
          <w:sz w:val="18"/>
        </w:rPr>
        <w:t>по ОМС</w:t>
      </w:r>
    </w:p>
    <w:p w:rsidR="00C3708A" w:rsidRPr="002B1281" w:rsidRDefault="00C3708A" w:rsidP="00C3708A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2B1281">
        <w:rPr>
          <w:rFonts w:ascii="Times New Roman" w:hAnsi="Times New Roman" w:cs="Times New Roman"/>
          <w:sz w:val="18"/>
        </w:rPr>
        <w:t>от «28» декабря 20</w:t>
      </w:r>
      <w:r w:rsidR="00946649" w:rsidRPr="002B1281">
        <w:rPr>
          <w:rFonts w:ascii="Times New Roman" w:hAnsi="Times New Roman" w:cs="Times New Roman"/>
          <w:sz w:val="18"/>
        </w:rPr>
        <w:t>20</w:t>
      </w:r>
      <w:r w:rsidRPr="002B1281">
        <w:rPr>
          <w:rFonts w:ascii="Times New Roman" w:hAnsi="Times New Roman" w:cs="Times New Roman"/>
          <w:sz w:val="18"/>
        </w:rPr>
        <w:t xml:space="preserve"> года</w:t>
      </w:r>
    </w:p>
    <w:p w:rsidR="00C3708A" w:rsidRPr="002B1281" w:rsidRDefault="00C3708A" w:rsidP="00C3708A">
      <w:pPr>
        <w:spacing w:after="0" w:line="240" w:lineRule="auto"/>
        <w:jc w:val="right"/>
        <w:rPr>
          <w:rFonts w:ascii="Times New Roman" w:hAnsi="Times New Roman" w:cs="Times New Roman"/>
          <w:sz w:val="8"/>
        </w:rPr>
      </w:pPr>
    </w:p>
    <w:p w:rsidR="00C3708A" w:rsidRPr="002B1281" w:rsidRDefault="00946649" w:rsidP="009466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B1281">
        <w:rPr>
          <w:rFonts w:ascii="Times New Roman" w:hAnsi="Times New Roman" w:cs="Times New Roman"/>
          <w:b/>
          <w:sz w:val="20"/>
        </w:rPr>
        <w:t>Перечень</w:t>
      </w:r>
      <w:r w:rsidRPr="002B1281">
        <w:rPr>
          <w:rFonts w:ascii="Times New Roman" w:hAnsi="Times New Roman" w:cs="Times New Roman"/>
          <w:b/>
          <w:sz w:val="20"/>
        </w:rPr>
        <w:t xml:space="preserve"> </w:t>
      </w:r>
      <w:r w:rsidRPr="002B1281">
        <w:rPr>
          <w:rFonts w:ascii="Times New Roman" w:hAnsi="Times New Roman" w:cs="Times New Roman"/>
          <w:b/>
          <w:sz w:val="20"/>
        </w:rPr>
        <w:t>показателей результативности деятельности медицинской организации,</w:t>
      </w:r>
      <w:r w:rsidRPr="002B1281">
        <w:rPr>
          <w:rFonts w:ascii="Times New Roman" w:hAnsi="Times New Roman" w:cs="Times New Roman"/>
          <w:b/>
          <w:sz w:val="20"/>
        </w:rPr>
        <w:t xml:space="preserve"> </w:t>
      </w:r>
      <w:r w:rsidRPr="002B1281">
        <w:rPr>
          <w:rFonts w:ascii="Times New Roman" w:hAnsi="Times New Roman" w:cs="Times New Roman"/>
          <w:b/>
          <w:sz w:val="20"/>
        </w:rPr>
        <w:t>внедряющей новую модель оказания гражданам первичной медико-санитарной помощи</w:t>
      </w:r>
      <w:r w:rsidRPr="002B1281">
        <w:rPr>
          <w:rFonts w:ascii="Times New Roman" w:hAnsi="Times New Roman" w:cs="Times New Roman"/>
          <w:b/>
          <w:sz w:val="20"/>
        </w:rPr>
        <w:t xml:space="preserve"> </w:t>
      </w:r>
      <w:r w:rsidRPr="002B1281">
        <w:rPr>
          <w:rFonts w:ascii="Times New Roman" w:hAnsi="Times New Roman" w:cs="Times New Roman"/>
          <w:b/>
          <w:sz w:val="20"/>
        </w:rPr>
        <w:t>на принципах «Бережливого производства» и критерии их оценки</w:t>
      </w:r>
      <w:r w:rsidRPr="002B1281">
        <w:rPr>
          <w:rFonts w:ascii="Times New Roman" w:hAnsi="Times New Roman" w:cs="Times New Roman"/>
          <w:b/>
          <w:sz w:val="20"/>
        </w:rPr>
        <w:t xml:space="preserve"> </w:t>
      </w:r>
      <w:r w:rsidRPr="002B1281">
        <w:rPr>
          <w:rFonts w:ascii="Times New Roman" w:hAnsi="Times New Roman" w:cs="Times New Roman"/>
          <w:b/>
          <w:sz w:val="20"/>
        </w:rPr>
        <w:t>с 01.01.2021</w:t>
      </w:r>
      <w:r w:rsidR="007858D2" w:rsidRPr="002B1281">
        <w:rPr>
          <w:rFonts w:ascii="Times New Roman" w:hAnsi="Times New Roman" w:cs="Times New Roman"/>
          <w:b/>
          <w:sz w:val="20"/>
        </w:rPr>
        <w:t xml:space="preserve"> - </w:t>
      </w:r>
      <w:r w:rsidRPr="002B1281">
        <w:rPr>
          <w:rFonts w:ascii="Times New Roman" w:hAnsi="Times New Roman" w:cs="Times New Roman"/>
          <w:b/>
          <w:sz w:val="20"/>
        </w:rPr>
        <w:t>1</w:t>
      </w:r>
      <w:r w:rsidR="007858D2" w:rsidRPr="002B1281">
        <w:rPr>
          <w:rFonts w:ascii="Times New Roman" w:hAnsi="Times New Roman" w:cs="Times New Roman"/>
          <w:b/>
          <w:sz w:val="20"/>
        </w:rPr>
        <w:t xml:space="preserve"> Квартал 202</w:t>
      </w:r>
      <w:r w:rsidRPr="002B1281">
        <w:rPr>
          <w:rFonts w:ascii="Times New Roman" w:hAnsi="Times New Roman" w:cs="Times New Roman"/>
          <w:b/>
          <w:sz w:val="20"/>
        </w:rPr>
        <w:t>1</w:t>
      </w:r>
    </w:p>
    <w:p w:rsidR="00C3708A" w:rsidRPr="002B1281" w:rsidRDefault="00C3708A" w:rsidP="00C3708A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Style w:val="a3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566"/>
        <w:gridCol w:w="5670"/>
        <w:gridCol w:w="6371"/>
        <w:gridCol w:w="1673"/>
      </w:tblGrid>
      <w:tr w:rsidR="002B1281" w:rsidRPr="002B1281" w:rsidTr="002B1281">
        <w:trPr>
          <w:trHeight w:val="20"/>
        </w:trPr>
        <w:tc>
          <w:tcPr>
            <w:tcW w:w="280" w:type="pct"/>
            <w:vAlign w:val="center"/>
          </w:tcPr>
          <w:p w:rsidR="00C07E2F" w:rsidRPr="002B1281" w:rsidRDefault="00C07E2F" w:rsidP="002B128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b/>
                <w:sz w:val="21"/>
                <w:szCs w:val="21"/>
              </w:rPr>
              <w:t>Блок</w:t>
            </w:r>
          </w:p>
        </w:tc>
        <w:tc>
          <w:tcPr>
            <w:tcW w:w="187" w:type="pct"/>
            <w:vAlign w:val="center"/>
            <w:hideMark/>
          </w:tcPr>
          <w:p w:rsidR="00C07E2F" w:rsidRPr="002B1281" w:rsidRDefault="00C07E2F" w:rsidP="002B128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1874" w:type="pct"/>
            <w:noWrap/>
            <w:vAlign w:val="center"/>
            <w:hideMark/>
          </w:tcPr>
          <w:p w:rsidR="00C07E2F" w:rsidRPr="002B1281" w:rsidRDefault="00C07E2F" w:rsidP="002B128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показателя</w:t>
            </w:r>
          </w:p>
        </w:tc>
        <w:tc>
          <w:tcPr>
            <w:tcW w:w="2106" w:type="pct"/>
            <w:noWrap/>
            <w:vAlign w:val="center"/>
            <w:hideMark/>
          </w:tcPr>
          <w:p w:rsidR="00C07E2F" w:rsidRPr="002B1281" w:rsidRDefault="00C07E2F" w:rsidP="002B128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b/>
                <w:sz w:val="21"/>
                <w:szCs w:val="21"/>
              </w:rPr>
              <w:t>Целевое значение показателя, критерии оценки</w:t>
            </w:r>
          </w:p>
        </w:tc>
        <w:tc>
          <w:tcPr>
            <w:tcW w:w="553" w:type="pct"/>
          </w:tcPr>
          <w:p w:rsidR="00C07E2F" w:rsidRPr="002B1281" w:rsidRDefault="00C07E2F" w:rsidP="002B128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b/>
                <w:sz w:val="21"/>
                <w:szCs w:val="21"/>
              </w:rPr>
              <w:t>Фактическое  значение показателя, критерии оценки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 w:val="restart"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Блок 1. Управление потоками пациентов</w:t>
            </w:r>
          </w:p>
        </w:tc>
        <w:tc>
          <w:tcPr>
            <w:tcW w:w="187" w:type="pct"/>
            <w:noWrap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74" w:type="pct"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Количество пересечений потоков при проведении диспансеризации, профилактических медицинских осмотров с иными потоками пациентов в поликлинике</w:t>
            </w:r>
          </w:p>
        </w:tc>
        <w:tc>
          <w:tcPr>
            <w:tcW w:w="2106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Не более 3 пересечений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74" w:type="pct"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Количество пересечений потоков пациентов при предоставлении платных медицинских услуг и медицинской помощи в рамках территориальной программы государственных гарантий на соответствующий календарный год и плановый период</w:t>
            </w:r>
          </w:p>
        </w:tc>
        <w:tc>
          <w:tcPr>
            <w:tcW w:w="2106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Не более 1 пересечения</w:t>
            </w:r>
          </w:p>
        </w:tc>
        <w:tc>
          <w:tcPr>
            <w:tcW w:w="553" w:type="pct"/>
          </w:tcPr>
          <w:p w:rsidR="00C07E2F" w:rsidRPr="002B1281" w:rsidRDefault="008B009B" w:rsidP="008B00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предоставляются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74" w:type="pct"/>
            <w:noWrap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Последовательность действий пациента в потоке процесса оказания ему медицинской помощи</w:t>
            </w:r>
          </w:p>
        </w:tc>
        <w:tc>
          <w:tcPr>
            <w:tcW w:w="2106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Не более 1 действия, порождающего возврат по потоку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 w:val="restart"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Блок 2.</w:t>
            </w:r>
            <w:r w:rsidRPr="002B128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Качество</w:t>
            </w:r>
            <w:r w:rsidRPr="002B128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пространства</w:t>
            </w:r>
          </w:p>
        </w:tc>
        <w:tc>
          <w:tcPr>
            <w:tcW w:w="187" w:type="pct"/>
            <w:noWrap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874" w:type="pct"/>
            <w:noWrap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Количество мест в зоне (зонах) комфортного ожидания для пациентов</w:t>
            </w:r>
          </w:p>
        </w:tc>
        <w:tc>
          <w:tcPr>
            <w:tcW w:w="2106" w:type="pct"/>
            <w:noWrap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Не менее 1 места в зоне (1 посадочное место для размещения 1 посетителя), на 200 посещений плановой мощности</w:t>
            </w:r>
          </w:p>
        </w:tc>
        <w:tc>
          <w:tcPr>
            <w:tcW w:w="553" w:type="pct"/>
          </w:tcPr>
          <w:p w:rsidR="00C07E2F" w:rsidRPr="002B1281" w:rsidRDefault="00AF46B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74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Организация системы навигации в медицинской организации</w:t>
            </w:r>
          </w:p>
        </w:tc>
        <w:tc>
          <w:tcPr>
            <w:tcW w:w="2106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Поиск необходимой информации об объекте (кабинете, отделении, подразделении и пр.), в том числе в точке ветвления маршрута, занимает не более 30 секунд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74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Организация рабочих мест по системе 5С</w:t>
            </w:r>
          </w:p>
        </w:tc>
        <w:tc>
          <w:tcPr>
            <w:tcW w:w="2106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Реализованы 3 и более шага в организации и поддержании порядка на рабочих местах по системе 5С для всех рабочих мест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874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Организация системы информирования в медицинской организации</w:t>
            </w:r>
          </w:p>
        </w:tc>
        <w:tc>
          <w:tcPr>
            <w:tcW w:w="2106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Наличие 100% элементов информации от их общего объема, указанного в Контрольном листе оценки системы информирования в медицинской организации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F46BB">
              <w:rPr>
                <w:rFonts w:ascii="Times New Roman" w:hAnsi="Times New Roman" w:cs="Times New Roman"/>
                <w:sz w:val="21"/>
                <w:szCs w:val="21"/>
              </w:rPr>
              <w:t>00 %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 w:val="restart"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Блок 3.</w:t>
            </w:r>
            <w:r w:rsidRPr="002B128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Управление</w:t>
            </w:r>
            <w:r w:rsidRPr="002B128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запасами</w:t>
            </w:r>
          </w:p>
        </w:tc>
        <w:tc>
          <w:tcPr>
            <w:tcW w:w="187" w:type="pct"/>
            <w:noWrap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874" w:type="pct"/>
            <w:noWrap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Процесс снабжения лекарственными средствами, изделиями медицинского назначения и прочими материалами от склада поставщика до медицинской организации</w:t>
            </w:r>
          </w:p>
        </w:tc>
        <w:tc>
          <w:tcPr>
            <w:tcW w:w="2106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Уровень запасов на складе медицинской организации не превышает четверти объема годовой закупки</w:t>
            </w:r>
          </w:p>
        </w:tc>
        <w:tc>
          <w:tcPr>
            <w:tcW w:w="553" w:type="pct"/>
          </w:tcPr>
          <w:p w:rsidR="00C07E2F" w:rsidRPr="002B1281" w:rsidRDefault="00AF46B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874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Процесс снабжения лекарственными средствами, изделиями медицинского назначения и прочими материалами и их расходования в медицинской организации осуществляется по принципу «точно вовремя»</w:t>
            </w:r>
          </w:p>
        </w:tc>
        <w:tc>
          <w:tcPr>
            <w:tcW w:w="2106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Уровень запасов не превышает недельную норму расходования (для кабинетов врачебного приема, процедурных, перевязочных, кабинетов забора биоматериала). За исключением определенного перечня лекарственных средств, требующих специальных условий учета и хранения</w:t>
            </w:r>
          </w:p>
        </w:tc>
        <w:tc>
          <w:tcPr>
            <w:tcW w:w="553" w:type="pct"/>
          </w:tcPr>
          <w:p w:rsidR="00C07E2F" w:rsidRPr="002B1281" w:rsidRDefault="00AF46B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 w:val="restart"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Блок 4.</w:t>
            </w:r>
            <w:r w:rsidR="002B1281" w:rsidRPr="002B12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Стандартизация</w:t>
            </w:r>
            <w:r w:rsidR="002B1281" w:rsidRPr="002B12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процессов</w:t>
            </w:r>
          </w:p>
        </w:tc>
        <w:tc>
          <w:tcPr>
            <w:tcW w:w="187" w:type="pct"/>
            <w:noWrap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74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Соответствие текущей деятельности медицинской организации стандартизированной работе улучшенных процессов</w:t>
            </w:r>
          </w:p>
        </w:tc>
        <w:tc>
          <w:tcPr>
            <w:tcW w:w="2106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100% (доля соответствия текущей деятельности разработанным стандартам улучшенных процессов)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Пересмотр стандартов улучшенных процессов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Пересмотр стандартов улучшенных процессов не реже 1 раза в год, актуализация по мере необходимости</w:t>
            </w:r>
          </w:p>
        </w:tc>
        <w:tc>
          <w:tcPr>
            <w:tcW w:w="553" w:type="pct"/>
          </w:tcPr>
          <w:p w:rsidR="00C07E2F" w:rsidRPr="002B1281" w:rsidRDefault="00AF46B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Время добавления ценности на приеме пациентов врачом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Не менее 50% от общего времени приема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80 %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Выравнивание нагрузки между сотрудниками в процессе трудовой деятельности в одном рабочем помещении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Колебания нагрузки между сотрудниками (врач и медицинская сестра, медицинская сестра и медицинская сестра, регистратор и регистратор и т.д.), осуществляющими прием в одном рабочем помещении составляет не более 30%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10 %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 w:val="restart"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Блок 5. Качество медицинской помощи</w:t>
            </w: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Количество штрафов/удержаний/ снятий, взысканных страховыми медицинскими организациями по результатам медико-экономического контроля, экспертизы качества медицинской помощи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Планомерное снижение показателей не менее чем на 5% ежегодно по сравнению с предыдущим годом. Каждый показатель исчисляется количеством штрафов (удержаний, снятий) на 100 запрошенных СМО случаев оказания медицинской помощи ежемесячно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33 %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Сумма штрафов/удержаний/ снятий, взысканных страховыми медицинскими организациями по результатам медико-экономического контроля, экспертизы качества медицинской помощи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Планомерное снижение показателей не менее чем на 5% ежегодно по сравнению с предыдущим годом. Каждый показатель исчисляется суммой штрафов (удержаний, снятий) на 100 запрошенных СМО случаев оказания медицинской помощи ежемесячно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7 %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 w:val="restart"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Блок 6. Доступность медицинской помощи</w:t>
            </w: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Обеспечение амбулаторного приема плановых пациентов врачами строго по времени и по предварительной записи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Не менее 90% - доля посещений по установленному времени (допустимо отклонение, равное продолжительности одного приема согласно расписанию);</w:t>
            </w:r>
          </w:p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Не менее 90 % - доля посещений по предварительной записи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96 %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Обеспечение удаленной записи на прием в медицинские организации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Доля записей, произведенных без посещения регистратуры, составляет не менее 50%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80 %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Обеспечение выполнения профилактического осмотра и (или) первого этапа диспансеризации взрослого населения за минимальное количество посещений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Не более 3 (трех) посещений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 w:val="restart"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Блок 7.</w:t>
            </w:r>
            <w:r w:rsidR="002B1281" w:rsidRPr="002B12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Вовлеченность персонала в улучшения процессов</w:t>
            </w: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Вовлеченность руководителей медицинских организаций и их заместителей во внедрение бережливых технологий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Не менее 1 проекта по улучшению в год у руководителя медицинской организации и его заместителей</w:t>
            </w:r>
          </w:p>
        </w:tc>
        <w:tc>
          <w:tcPr>
            <w:tcW w:w="553" w:type="pct"/>
          </w:tcPr>
          <w:p w:rsidR="00C07E2F" w:rsidRPr="002B1281" w:rsidRDefault="00AF46B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Работа системы подачи и реализации предложений по улучшению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Доля реализованных улучшений от принятых предложений составляет не менее 30%, с увеличением на 5% ежегодно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30 %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Блок 8.</w:t>
            </w:r>
            <w:r w:rsidR="002B1281" w:rsidRPr="002B12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Формирование</w:t>
            </w:r>
            <w:r w:rsidR="002B1281" w:rsidRPr="002B12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системы</w:t>
            </w:r>
            <w:r w:rsidR="002B1281" w:rsidRPr="002B12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управления</w:t>
            </w: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Визуальное управление процессами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 xml:space="preserve">Не менее 5 процессов (в соответствии с блоками системы </w:t>
            </w:r>
            <w:r w:rsidRPr="002B1281">
              <w:rPr>
                <w:rStyle w:val="212pt"/>
                <w:sz w:val="21"/>
                <w:szCs w:val="21"/>
                <w:lang w:val="en-US" w:eastAsia="en-US" w:bidi="en-US"/>
              </w:rPr>
              <w:t>SQDCM</w:t>
            </w:r>
            <w:r w:rsidRPr="002B1281">
              <w:rPr>
                <w:rStyle w:val="212pt"/>
                <w:sz w:val="21"/>
                <w:szCs w:val="21"/>
                <w:lang w:eastAsia="en-US" w:bidi="en-US"/>
              </w:rPr>
              <w:t xml:space="preserve">) </w:t>
            </w:r>
            <w:r w:rsidRPr="002B1281">
              <w:rPr>
                <w:rStyle w:val="212pt"/>
                <w:sz w:val="21"/>
                <w:szCs w:val="21"/>
              </w:rPr>
              <w:t>управляются через информационный центр</w:t>
            </w:r>
          </w:p>
        </w:tc>
        <w:tc>
          <w:tcPr>
            <w:tcW w:w="553" w:type="pct"/>
          </w:tcPr>
          <w:p w:rsidR="00C07E2F" w:rsidRPr="002B1281" w:rsidRDefault="00AF46B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Блок 9.</w:t>
            </w:r>
            <w:r w:rsidR="002B1281" w:rsidRPr="002B12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Эффективность</w:t>
            </w:r>
            <w:r w:rsidR="002B1281" w:rsidRPr="002B12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использования</w:t>
            </w:r>
            <w:r w:rsidR="002B1281" w:rsidRPr="002B12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оборудования</w:t>
            </w: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Производственная нагрузка оборудования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Коэффициент: не менее 80% в отношении оборудования, используемого в диагностических целях, кроме оборудования КДЛ</w:t>
            </w:r>
          </w:p>
        </w:tc>
        <w:tc>
          <w:tcPr>
            <w:tcW w:w="553" w:type="pct"/>
          </w:tcPr>
          <w:p w:rsidR="00C07E2F" w:rsidRPr="002B1281" w:rsidRDefault="00AF46B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8B00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%</w:t>
            </w:r>
            <w:bookmarkStart w:id="0" w:name="_GoBack"/>
            <w:bookmarkEnd w:id="0"/>
          </w:p>
        </w:tc>
      </w:tr>
    </w:tbl>
    <w:p w:rsidR="00C3708A" w:rsidRPr="002B1281" w:rsidRDefault="00C3708A" w:rsidP="00C3708A">
      <w:pPr>
        <w:spacing w:after="0" w:line="240" w:lineRule="auto"/>
        <w:rPr>
          <w:rFonts w:ascii="Times New Roman" w:hAnsi="Times New Roman" w:cs="Times New Roman"/>
          <w:sz w:val="16"/>
        </w:rPr>
      </w:pPr>
    </w:p>
    <w:sectPr w:rsidR="00C3708A" w:rsidRPr="002B1281" w:rsidSect="00C3708A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8A"/>
    <w:rsid w:val="001070D9"/>
    <w:rsid w:val="002B1281"/>
    <w:rsid w:val="002C49AE"/>
    <w:rsid w:val="00392108"/>
    <w:rsid w:val="003C2B2F"/>
    <w:rsid w:val="00464F81"/>
    <w:rsid w:val="006938B7"/>
    <w:rsid w:val="0074416C"/>
    <w:rsid w:val="007858D2"/>
    <w:rsid w:val="0083533A"/>
    <w:rsid w:val="008B009B"/>
    <w:rsid w:val="00946649"/>
    <w:rsid w:val="00AF46BB"/>
    <w:rsid w:val="00B01EA9"/>
    <w:rsid w:val="00BA03DB"/>
    <w:rsid w:val="00BB4C10"/>
    <w:rsid w:val="00C07E2F"/>
    <w:rsid w:val="00C3708A"/>
    <w:rsid w:val="00D76065"/>
    <w:rsid w:val="00F0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09465C"/>
  <w15:chartTrackingRefBased/>
  <w15:docId w15:val="{68330A36-DAAE-4529-ABF4-2E90D00A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F8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C07E2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;Не полужирный"/>
    <w:basedOn w:val="2"/>
    <w:rsid w:val="00C07E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7E2F"/>
    <w:pPr>
      <w:widowControl w:val="0"/>
      <w:shd w:val="clear" w:color="auto" w:fill="FFFFFF"/>
      <w:spacing w:before="300" w:after="540" w:line="278" w:lineRule="exact"/>
      <w:jc w:val="righ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2021-04-20T08:45:00Z</cp:lastPrinted>
  <dcterms:created xsi:type="dcterms:W3CDTF">2021-04-20T04:38:00Z</dcterms:created>
  <dcterms:modified xsi:type="dcterms:W3CDTF">2021-04-20T08:45:00Z</dcterms:modified>
</cp:coreProperties>
</file>